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D12FA4" w:rsidRDefault="00F219A0" w:rsidP="00CD1E39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FEB26" w14:textId="1036A0B2" w:rsidR="00A40D82" w:rsidRPr="00D12FA4" w:rsidRDefault="00A40D82" w:rsidP="00CD1E39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D12FA4" w:rsidRDefault="00A40D82" w:rsidP="00CD1E39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CD1E39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167CD51B" w14:textId="77777777" w:rsidR="00C65FEF" w:rsidRPr="00D12FA4" w:rsidRDefault="00C65FEF" w:rsidP="00CD1E39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3F2B925E" w:rsidR="000912AE" w:rsidRPr="00D12FA4" w:rsidRDefault="00A14095" w:rsidP="00CD1E39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59AF74B" w14:textId="37AE0183" w:rsidR="000E3530" w:rsidRPr="00D12FA4" w:rsidRDefault="000E3530" w:rsidP="00CD1E39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5296A23D" w14:textId="3CEE78FD" w:rsidR="000912AE" w:rsidRPr="00D12FA4" w:rsidRDefault="00A14095" w:rsidP="00CD1E39">
      <w:pPr>
        <w:tabs>
          <w:tab w:val="num" w:pos="720"/>
        </w:tabs>
        <w:spacing w:before="120"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297CDD3A" w:rsidR="00A14095" w:rsidRPr="00D12FA4" w:rsidRDefault="00A14095" w:rsidP="00CD1E39">
      <w:pPr>
        <w:spacing w:after="120" w:line="276" w:lineRule="auto"/>
        <w:ind w:left="2124" w:hanging="2124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Oś Priorytetowa</w:t>
      </w:r>
      <w:r w:rsidR="00C65FEF" w:rsidRPr="00D12FA4">
        <w:rPr>
          <w:rFonts w:ascii="Open Sans Light" w:hAnsi="Open Sans Light" w:cs="Open Sans Light"/>
          <w:b/>
          <w:bCs/>
          <w:sz w:val="22"/>
          <w:szCs w:val="22"/>
        </w:rPr>
        <w:t>:</w:t>
      </w:r>
      <w:r w:rsidR="00ED2C22">
        <w:rPr>
          <w:rFonts w:ascii="Open Sans Light" w:hAnsi="Open Sans Light" w:cs="Open Sans Light"/>
          <w:b/>
          <w:bCs/>
          <w:sz w:val="22"/>
          <w:szCs w:val="22"/>
        </w:rPr>
        <w:tab/>
      </w:r>
      <w:r w:rsidRPr="00D12FA4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363FBD5B" w:rsidR="00A40D82" w:rsidRPr="00D12FA4" w:rsidRDefault="0015303A" w:rsidP="00CD1E3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Działanie: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A40D82" w:rsidRPr="00D12FA4">
        <w:rPr>
          <w:rFonts w:ascii="Open Sans Light" w:hAnsi="Open Sans Light" w:cs="Open Sans Light"/>
          <w:sz w:val="22"/>
          <w:szCs w:val="22"/>
        </w:rPr>
        <w:t>FENX.01.0</w:t>
      </w:r>
      <w:r w:rsidR="000C7B2D">
        <w:rPr>
          <w:rFonts w:ascii="Open Sans Light" w:hAnsi="Open Sans Light" w:cs="Open Sans Light"/>
          <w:sz w:val="22"/>
          <w:szCs w:val="22"/>
        </w:rPr>
        <w:t>5</w:t>
      </w:r>
      <w:r w:rsidR="00A40D82"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0C7B2D" w:rsidRPr="000C7B2D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3965B5D1" w:rsidR="008E489E" w:rsidRPr="00D12FA4" w:rsidRDefault="008E489E" w:rsidP="00CD1E39">
      <w:pPr>
        <w:spacing w:after="120" w:line="276" w:lineRule="auto"/>
        <w:ind w:left="2124" w:hanging="2124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Typ projektu</w:t>
      </w:r>
      <w:r w:rsidR="00ED2C22">
        <w:rPr>
          <w:rFonts w:ascii="Open Sans Light" w:hAnsi="Open Sans Light" w:cs="Open Sans Light"/>
          <w:b/>
          <w:sz w:val="22"/>
          <w:szCs w:val="22"/>
        </w:rPr>
        <w:t>:</w:t>
      </w:r>
      <w:r w:rsidR="000C7B2D" w:rsidRPr="000C7B2D">
        <w:t xml:space="preserve"> </w:t>
      </w:r>
      <w:r w:rsidR="00ED2C22">
        <w:tab/>
      </w:r>
      <w:r w:rsidR="000179D0" w:rsidRPr="000179D0">
        <w:rPr>
          <w:rFonts w:ascii="Open Sans Light" w:hAnsi="Open Sans Light" w:cs="Open Sans Light"/>
          <w:sz w:val="22"/>
          <w:szCs w:val="22"/>
        </w:rPr>
        <w:t>Usuwanie niewłaściwie składowanych lub magazynowanych odpadów oraz wywołanego przez nie zagrożenia dla ludzi lub środowiska</w:t>
      </w:r>
    </w:p>
    <w:p w14:paraId="4D8F3253" w14:textId="2933EB04" w:rsidR="00AA60DD" w:rsidRPr="00D12FA4" w:rsidRDefault="001B5B7B" w:rsidP="00CD1E3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Tryb naboru</w:t>
      </w:r>
      <w:r w:rsidRPr="00D12FA4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D12FA4">
        <w:rPr>
          <w:rFonts w:ascii="Open Sans Light" w:hAnsi="Open Sans Light" w:cs="Open Sans Light"/>
          <w:sz w:val="22"/>
          <w:szCs w:val="22"/>
        </w:rPr>
        <w:t>konkurencyjny</w:t>
      </w:r>
      <w:r w:rsidRPr="00D12FA4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D12FA4">
        <w:rPr>
          <w:rFonts w:ascii="Open Sans Light" w:hAnsi="Open Sans Light" w:cs="Open Sans Light"/>
          <w:sz w:val="22"/>
          <w:szCs w:val="22"/>
        </w:rPr>
        <w:t>niekonkurencyjny</w:t>
      </w:r>
      <w:r w:rsidRPr="00D12FA4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46502A3E" w:rsidR="0015303A" w:rsidRPr="00D12FA4" w:rsidRDefault="0015303A" w:rsidP="00CD1E3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Tytuł projektu: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D12FA4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0C7172BB" w:rsidR="0015303A" w:rsidRPr="00D12FA4" w:rsidRDefault="0015303A" w:rsidP="00CD1E3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Beneficjent projektu: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5F886540" w14:textId="375C8086" w:rsidR="00C65FEF" w:rsidRPr="00D12FA4" w:rsidRDefault="00A40D82" w:rsidP="00CD1E39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ED2C22">
        <w:rPr>
          <w:rFonts w:ascii="Open Sans Light" w:hAnsi="Open Sans Light" w:cs="Open Sans Light"/>
          <w:b/>
          <w:sz w:val="22"/>
          <w:szCs w:val="22"/>
        </w:rPr>
        <w:t>: …………………………….</w:t>
      </w:r>
    </w:p>
    <w:p w14:paraId="78C3F5FA" w14:textId="238BB651" w:rsidR="00D50A87" w:rsidRPr="00D12FA4" w:rsidRDefault="00C65FEF" w:rsidP="00CD1E39">
      <w:pPr>
        <w:spacing w:after="36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</w:t>
      </w:r>
      <w:r w:rsidR="00D50A87" w:rsidRPr="00D12FA4">
        <w:rPr>
          <w:rFonts w:ascii="Open Sans Light" w:hAnsi="Open Sans Light" w:cs="Open Sans Light"/>
          <w:b/>
          <w:sz w:val="22"/>
          <w:szCs w:val="22"/>
        </w:rPr>
        <w:t xml:space="preserve">ata złożenia: </w:t>
      </w:r>
      <w:r w:rsidR="00D50A87" w:rsidRPr="00D12FA4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5D0B89" w14:paraId="1EA5A329" w14:textId="77777777" w:rsidTr="00282383">
        <w:trPr>
          <w:trHeight w:val="560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14:paraId="08C8FD91" w14:textId="774B1A1D" w:rsidR="009B59BE" w:rsidRPr="00D12FA4" w:rsidRDefault="009B59BE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3AE174D" w14:textId="33929BCF" w:rsidR="001A289F" w:rsidRPr="00D12FA4" w:rsidRDefault="001A289F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38C0C422" w14:textId="3F86A86E" w:rsidR="001A289F" w:rsidRPr="00D12FA4" w:rsidRDefault="001A289F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56311A0D" w14:textId="127150E6" w:rsidR="001A289F" w:rsidRPr="00D12FA4" w:rsidRDefault="00A97CE8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34C14C6D" w14:textId="31635C39" w:rsidR="001A289F" w:rsidRPr="00D12FA4" w:rsidRDefault="00A97CE8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A97CE8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1A289F" w:rsidRPr="005D0B89" w14:paraId="6DEDD2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524" w:type="dxa"/>
            <w:vAlign w:val="center"/>
          </w:tcPr>
          <w:p w14:paraId="5B57628E" w14:textId="0A69C549" w:rsidR="001A289F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wniosek posiada komplet załączników spełniających 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wymagania zawarte regulaminie wyboru /instrukcji do wypełnienia wniosku?</w:t>
            </w:r>
          </w:p>
        </w:tc>
        <w:tc>
          <w:tcPr>
            <w:tcW w:w="2317" w:type="dxa"/>
            <w:vAlign w:val="center"/>
          </w:tcPr>
          <w:p w14:paraId="426CC23E" w14:textId="6B28A112" w:rsidR="001A289F" w:rsidRPr="00D64B50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2583" w:type="dxa"/>
            <w:vAlign w:val="center"/>
          </w:tcPr>
          <w:p w14:paraId="6164AA80" w14:textId="4C447160" w:rsidR="001A289F" w:rsidRPr="00D64B50" w:rsidRDefault="00B23413" w:rsidP="00CD1E39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5BC17D5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24" w:type="dxa"/>
            <w:vAlign w:val="center"/>
          </w:tcPr>
          <w:p w14:paraId="7FB4F630" w14:textId="4EF7B9A1" w:rsidR="00707AE0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tym dokumentacji technicznej, są spójne?  </w:t>
            </w:r>
          </w:p>
        </w:tc>
        <w:tc>
          <w:tcPr>
            <w:tcW w:w="2317" w:type="dxa"/>
            <w:vAlign w:val="center"/>
          </w:tcPr>
          <w:p w14:paraId="5C558560" w14:textId="14F5014B" w:rsidR="00707AE0" w:rsidRPr="00D64B50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57EA8A1E" w14:textId="6E18DFA5" w:rsidR="00707AE0" w:rsidRPr="00D64B50" w:rsidRDefault="00B23413" w:rsidP="00CD1E39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C724B7" w:rsidRPr="005D0B89" w14:paraId="45CFF8E8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6500815" w14:textId="2392F27C" w:rsidR="00C724B7" w:rsidRPr="00D12FA4" w:rsidRDefault="000C4571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279F723D" w14:textId="77777777" w:rsidR="00707AE0" w:rsidRPr="00D12FA4" w:rsidRDefault="00791862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25A01493" w14:textId="00B7101B" w:rsidR="00C724B7" w:rsidRPr="00B23413" w:rsidRDefault="00EE2A02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09420BEB" w14:textId="36EBD899" w:rsidR="00C724B7" w:rsidRPr="00B23413" w:rsidRDefault="00C724B7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12FA4" w:rsidDel="008A092E" w:rsidRDefault="00707AE0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24" w:type="dxa"/>
            <w:vAlign w:val="center"/>
          </w:tcPr>
          <w:p w14:paraId="70E88146" w14:textId="33CAB6B9" w:rsidR="00DF1D02" w:rsidRPr="00D12FA4" w:rsidDel="008A092E" w:rsidRDefault="00707AE0" w:rsidP="00CD1E3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65 </w:t>
            </w:r>
            <w:r w:rsidR="00EE2A02">
              <w:rPr>
                <w:rFonts w:ascii="Open Sans Light" w:hAnsi="Open Sans Light" w:cs="Open Sans Light"/>
                <w:sz w:val="20"/>
                <w:szCs w:val="20"/>
              </w:rPr>
              <w:t>R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ozporządzenia Parlamentu Europejskiego i Rady (UE) nr 2021/1060 z dnia 24 czerwca 2021 r.?</w:t>
            </w:r>
          </w:p>
        </w:tc>
        <w:tc>
          <w:tcPr>
            <w:tcW w:w="2317" w:type="dxa"/>
            <w:vAlign w:val="center"/>
          </w:tcPr>
          <w:p w14:paraId="22B44D99" w14:textId="5A128113" w:rsidR="00C724B7" w:rsidRPr="00D64B50" w:rsidDel="008A092E" w:rsidRDefault="00EE2A02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Nie dotyczy</w:t>
            </w:r>
          </w:p>
        </w:tc>
        <w:tc>
          <w:tcPr>
            <w:tcW w:w="2583" w:type="dxa"/>
            <w:vAlign w:val="center"/>
          </w:tcPr>
          <w:p w14:paraId="7A11A119" w14:textId="793C57D1" w:rsidR="00C724B7" w:rsidRPr="00D64B50" w:rsidDel="008A092E" w:rsidRDefault="00C724B7" w:rsidP="00CD1E39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C204D2" w:rsidRPr="005D0B89" w14:paraId="07F8EB06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585357A" w14:textId="50B10F9E" w:rsidR="00C204D2" w:rsidRPr="00D12FA4" w:rsidRDefault="000C4571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0D7B5E28" w14:textId="77777777" w:rsidR="00C204D2" w:rsidRPr="00D12FA4" w:rsidRDefault="00791862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635892D8" w14:textId="38DA05C0" w:rsidR="00C204D2" w:rsidRPr="00B23413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58066260" w14:textId="08AFA65D" w:rsidR="00C204D2" w:rsidRPr="00B23413" w:rsidRDefault="00B23413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C204D2" w:rsidRPr="005D0B89" w14:paraId="080BF43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4" w:type="dxa"/>
            <w:vAlign w:val="center"/>
          </w:tcPr>
          <w:p w14:paraId="50CD55ED" w14:textId="199FAB44" w:rsidR="00C204D2" w:rsidRPr="00D12FA4" w:rsidRDefault="00C204D2" w:rsidP="00CD1E3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0664C1F" w14:textId="3A90606C" w:rsidR="00C204D2" w:rsidRPr="00D64B50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483C4070" w14:textId="0D373F8D" w:rsidR="00C204D2" w:rsidRPr="00D64B50" w:rsidRDefault="007F0CB1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Koszty </w:t>
            </w: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całkowite</w:t>
            </w:r>
            <w:r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Projektu:</w:t>
            </w:r>
          </w:p>
          <w:p w14:paraId="2A948C65" w14:textId="71260819" w:rsidR="007F0CB1" w:rsidRPr="00D64B50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</w:t>
            </w:r>
            <w:r w:rsidR="007F0CB1"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>oszty kwalifikowane:</w:t>
            </w:r>
          </w:p>
          <w:p w14:paraId="67C751DE" w14:textId="36C5AF3B" w:rsidR="007F0CB1" w:rsidRPr="00D64B50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</w:t>
            </w:r>
            <w:r w:rsidR="007F0CB1"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>Koszty niekwalifikowane:</w:t>
            </w:r>
          </w:p>
          <w:p w14:paraId="2692C9F1" w14:textId="77777777" w:rsidR="00BF21EF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7F86448B" w14:textId="0A52D3C4" w:rsidR="007F0CB1" w:rsidRDefault="007F0CB1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7F0CB1">
              <w:rPr>
                <w:rFonts w:ascii="Open Sans Light" w:hAnsi="Open Sans Light" w:cs="Open Sans Light"/>
                <w:bCs/>
                <w:sz w:val="16"/>
                <w:szCs w:val="16"/>
              </w:rPr>
              <w:t>Koszty całkowite Projektu:</w:t>
            </w:r>
          </w:p>
          <w:p w14:paraId="46B0C22D" w14:textId="77777777" w:rsidR="007F0CB1" w:rsidRDefault="007F0CB1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koszty netto: </w:t>
            </w:r>
          </w:p>
          <w:p w14:paraId="0C406F52" w14:textId="77777777" w:rsidR="007F0CB1" w:rsidRDefault="007F0CB1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VAT: </w:t>
            </w:r>
          </w:p>
          <w:p w14:paraId="14025E6D" w14:textId="77777777" w:rsidR="007F0CB1" w:rsidRDefault="007F0CB1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koszty brutto:</w:t>
            </w:r>
          </w:p>
          <w:p w14:paraId="64E7FD68" w14:textId="77777777" w:rsidR="00BF21EF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04CDA5B2" w14:textId="760625E0" w:rsidR="00BF21EF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Źródła finansowania:</w:t>
            </w:r>
          </w:p>
          <w:p w14:paraId="19B9D0B7" w14:textId="77777777" w:rsidR="00BF21EF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dotacja z UE: </w:t>
            </w:r>
          </w:p>
          <w:p w14:paraId="6C19FE1E" w14:textId="77777777" w:rsidR="00BF21EF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środki własne:</w:t>
            </w:r>
          </w:p>
          <w:p w14:paraId="61B976D8" w14:textId="77777777" w:rsidR="00BF21EF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kredyty/pożyczki:  </w:t>
            </w:r>
          </w:p>
          <w:p w14:paraId="42682A9F" w14:textId="77777777" w:rsidR="00BF21EF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3EDF7A95" w14:textId="77777777" w:rsidR="00EF09C0" w:rsidRDefault="00EF09C0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Dokumenty potwierdzające posiadanie środków własnych:</w:t>
            </w:r>
          </w:p>
          <w:p w14:paraId="2E4E8DAA" w14:textId="77777777" w:rsidR="00EF09C0" w:rsidRDefault="00EF09C0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2BF37EC5" w14:textId="77777777" w:rsidR="00EF09C0" w:rsidRDefault="00EF09C0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1F83381A" w14:textId="14921C1E" w:rsidR="00BF21EF" w:rsidRPr="00D64B50" w:rsidRDefault="00BF21EF" w:rsidP="00CD1E39">
            <w:pPr>
              <w:spacing w:line="276" w:lineRule="auto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C204D2" w:rsidRPr="005D0B89" w14:paraId="4F34637F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AEA5618" w14:textId="74700114" w:rsidR="00C204D2" w:rsidRPr="00D12FA4" w:rsidRDefault="000C4571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09C75DF2" w14:textId="6DD3DB75" w:rsidR="00C204D2" w:rsidRPr="00D12FA4" w:rsidRDefault="00791862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73EA3CD3" w14:textId="2441805E" w:rsidR="00C204D2" w:rsidRPr="00B23413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7C2C6BE6" w14:textId="5CC5FD1F" w:rsidR="00C204D2" w:rsidRPr="00B23413" w:rsidRDefault="00B23413" w:rsidP="00CD1E3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24A969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24" w:type="dxa"/>
            <w:vAlign w:val="center"/>
          </w:tcPr>
          <w:p w14:paraId="732DCE66" w14:textId="74148262" w:rsidR="00707AE0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tudium wykonalności zostało sporządzone zgodnie z „Zakresem Studium wykonalności” 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przedstawionym w Z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ałącznik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u nr 3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do </w:t>
            </w:r>
            <w:r w:rsidR="00EE2A02">
              <w:rPr>
                <w:rFonts w:ascii="Open Sans Light" w:hAnsi="Open Sans Light" w:cs="Open Sans Light"/>
                <w:sz w:val="20"/>
                <w:szCs w:val="20"/>
              </w:rPr>
              <w:t>Regulaminu wyboru projektów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3F54221B" w14:textId="6E2270D8" w:rsidR="00707AE0" w:rsidRPr="00B23413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19AD33D0" w14:textId="15C15DCD" w:rsidR="00707AE0" w:rsidRPr="00D64B50" w:rsidRDefault="00B23413" w:rsidP="00CD1E39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462B1B8B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3524" w:type="dxa"/>
            <w:vAlign w:val="center"/>
          </w:tcPr>
          <w:p w14:paraId="299AA53B" w14:textId="77777777" w:rsidR="00011C45" w:rsidRDefault="00707AE0" w:rsidP="00CD1E39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1A48AF73" w14:textId="32A94D72" w:rsidR="00011C45" w:rsidRDefault="00011C45" w:rsidP="00CD1E39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„</w:t>
            </w:r>
            <w:r w:rsidR="00707AE0" w:rsidRPr="00D64B50">
              <w:rPr>
                <w:rFonts w:ascii="Open Sans Light" w:hAnsi="Open Sans Light" w:cs="Open Sans Light"/>
                <w:sz w:val="20"/>
                <w:szCs w:val="20"/>
              </w:rPr>
              <w:t>Wytycznymi w zakresie zagadnień związanych z przygotowaniem projektów inwestycyjnych na lata 2021-2027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”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</w:p>
          <w:p w14:paraId="3394ACA3" w14:textId="44540C5C" w:rsidR="00707AE0" w:rsidRPr="00D12FA4" w:rsidRDefault="00011C45" w:rsidP="00CD1E39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„Założeniami do analiz finansowych” przedstawionymi w 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Załącznik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 xml:space="preserve"> nr 3 do Regulaminu wyboru projektów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317" w:type="dxa"/>
            <w:vAlign w:val="center"/>
          </w:tcPr>
          <w:p w14:paraId="69AFB0C5" w14:textId="23F15E6E" w:rsidR="00707AE0" w:rsidRPr="007F0CB1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7F0CB1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141D6151" w14:textId="7A8247A6" w:rsidR="00707AE0" w:rsidRPr="00D64B50" w:rsidRDefault="00B23413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2035FF9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65DD277" w14:textId="7C0819FD" w:rsidR="00707AE0" w:rsidRPr="00D12FA4" w:rsidRDefault="00707AE0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524" w:type="dxa"/>
            <w:vAlign w:val="center"/>
          </w:tcPr>
          <w:p w14:paraId="285FEFB5" w14:textId="35F70113" w:rsidR="00707AE0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2317" w:type="dxa"/>
            <w:vAlign w:val="center"/>
          </w:tcPr>
          <w:p w14:paraId="037BA961" w14:textId="7A3D4B3A" w:rsidR="00707AE0" w:rsidRPr="00B23413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3A1DB1AD" w14:textId="14850984" w:rsidR="00707AE0" w:rsidRPr="00D64B50" w:rsidRDefault="00B23413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 xml:space="preserve">Poziom dofinansowania nie przekracza maksymalnego poziomu </w:t>
            </w:r>
            <w:r w:rsidRPr="00B23413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wynoszącego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85</w:t>
            </w: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% kosztów kwalifikowanych</w:t>
            </w:r>
            <w:r w:rsidR="007F0CB1">
              <w:rPr>
                <w:rStyle w:val="Odwoanieprzypisudolnego"/>
                <w:rFonts w:ascii="Open Sans Light" w:hAnsi="Open Sans Light"/>
                <w:sz w:val="20"/>
                <w:szCs w:val="20"/>
              </w:rPr>
              <w:footnoteReference w:id="2"/>
            </w: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707AE0" w:rsidRPr="005D0B89" w14:paraId="35FCF2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2110961C" w:rsidR="00707AE0" w:rsidRPr="00D12FA4" w:rsidRDefault="00707AE0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12.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524" w:type="dxa"/>
            <w:vAlign w:val="center"/>
          </w:tcPr>
          <w:p w14:paraId="74D58029" w14:textId="570315E4" w:rsidR="00707AE0" w:rsidRPr="00D12FA4" w:rsidRDefault="00707AE0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wskaźniki efektywności finansowej i ekonomicznej (jeśli dotyczy) wyliczono zgodnie z </w:t>
            </w:r>
            <w:r w:rsidR="003F56FC">
              <w:rPr>
                <w:rFonts w:ascii="Open Sans Light" w:hAnsi="Open Sans Light" w:cs="Open Sans Light"/>
                <w:sz w:val="20"/>
                <w:szCs w:val="20"/>
              </w:rPr>
              <w:t>„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Wytycznymi w zakresie zagadnień związanych z przygotowaniem projektów inwestycyjnych na lata 2021-2027</w:t>
            </w:r>
            <w:r w:rsidR="003F56FC">
              <w:rPr>
                <w:rFonts w:ascii="Open Sans Light" w:hAnsi="Open Sans Light" w:cs="Open Sans Light"/>
                <w:sz w:val="20"/>
                <w:szCs w:val="20"/>
              </w:rPr>
              <w:t>”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3DA2AACB" w14:textId="6C92F2E7" w:rsidR="00707AE0" w:rsidRPr="00B23413" w:rsidRDefault="00B23413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47EF801" w14:textId="43941278" w:rsidR="00707AE0" w:rsidRPr="00D64B50" w:rsidRDefault="007F0CB1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F0CB1">
              <w:rPr>
                <w:rFonts w:ascii="Open Sans Light" w:hAnsi="Open Sans Light" w:cs="Open Sans Light"/>
                <w:sz w:val="20"/>
                <w:szCs w:val="20"/>
              </w:rPr>
              <w:t xml:space="preserve">Wartości wskaźników efektywności finansowej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i ekonomicznej (jeśli dotyczy) </w:t>
            </w:r>
            <w:r w:rsidRPr="007F0CB1">
              <w:rPr>
                <w:rFonts w:ascii="Open Sans Light" w:hAnsi="Open Sans Light" w:cs="Open Sans Light"/>
                <w:sz w:val="20"/>
                <w:szCs w:val="20"/>
              </w:rPr>
              <w:t>nie przekraczają wartości krytycznych</w:t>
            </w:r>
          </w:p>
        </w:tc>
      </w:tr>
      <w:tr w:rsidR="00BE5064" w:rsidRPr="005D0B89" w14:paraId="12BDDF2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4B3747B" w14:textId="61143434" w:rsidR="00BE5064" w:rsidRPr="00D12FA4" w:rsidRDefault="00BE5064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12.5</w:t>
            </w:r>
          </w:p>
        </w:tc>
        <w:tc>
          <w:tcPr>
            <w:tcW w:w="3524" w:type="dxa"/>
            <w:vAlign w:val="center"/>
          </w:tcPr>
          <w:p w14:paraId="23889416" w14:textId="3B58980F" w:rsidR="00BE5064" w:rsidRPr="00D12FA4" w:rsidRDefault="00BE5064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E5064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2317" w:type="dxa"/>
            <w:vAlign w:val="center"/>
          </w:tcPr>
          <w:p w14:paraId="49A5DE24" w14:textId="249B0FBD" w:rsidR="00BE5064" w:rsidRPr="00B23413" w:rsidRDefault="00BE5064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E5064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7B47F639" w14:textId="77777777" w:rsidR="00BE5064" w:rsidRPr="007F0CB1" w:rsidRDefault="00BE5064" w:rsidP="00CD1E3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299FBE3" w14:textId="77777777" w:rsidR="00B74CF0" w:rsidRPr="00D12FA4" w:rsidRDefault="00B74CF0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D12FA4" w:rsidRDefault="005366EE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F08EEE1" w:rsidR="005366EE" w:rsidRPr="00D12FA4" w:rsidRDefault="00A14095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D12FA4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D12FA4" w:rsidRDefault="005366EE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5D0B8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761AC052" w:rsidR="00A14095" w:rsidRPr="00D12FA4" w:rsidRDefault="00C5194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/uzasadnienie/zalecenia dot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yczące </w:t>
            </w: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>warunków umownych lub czynności niezbędn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>ych</w:t>
            </w: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 do wykonania przez Wnioskodawcę przed podpisaniem umowy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 o dofinansowanie</w:t>
            </w:r>
            <w:r>
              <w:rPr>
                <w:rStyle w:val="Odwoanieprzypisudolnego"/>
                <w:rFonts w:ascii="Open Sans Light" w:hAnsi="Open Sans Light"/>
                <w:b/>
                <w:sz w:val="22"/>
                <w:szCs w:val="22"/>
              </w:rPr>
              <w:footnoteReference w:id="3"/>
            </w:r>
          </w:p>
        </w:tc>
      </w:tr>
      <w:tr w:rsidR="00A14095" w:rsidRPr="005D0B8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D12FA4" w:rsidRDefault="00A14095" w:rsidP="00CD1E39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D12FA4" w:rsidRDefault="005366EE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D12FA4" w:rsidRDefault="00A14095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D12FA4" w:rsidRDefault="00A14095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D12FA4" w:rsidRDefault="00A14095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D12FA4" w:rsidRDefault="00A14095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D12FA4" w:rsidRDefault="00A14095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D12FA4" w:rsidRDefault="00A14095" w:rsidP="00CD1E3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FDBFC6A" w14:textId="77777777" w:rsidR="00ED2C22" w:rsidRDefault="00ED2C22" w:rsidP="00CD1E3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2A670E58" w:rsidR="005366EE" w:rsidRPr="00D12FA4" w:rsidRDefault="00CD1E39" w:rsidP="00CD1E39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I</w:t>
      </w:r>
      <w:r w:rsidR="005366EE" w:rsidRPr="00D12FA4">
        <w:rPr>
          <w:rFonts w:ascii="Open Sans Light" w:hAnsi="Open Sans Light" w:cs="Open Sans Light"/>
          <w:sz w:val="22"/>
          <w:szCs w:val="22"/>
        </w:rPr>
        <w:t>mię i nazwisko osoby oceniającej: …………………………</w:t>
      </w:r>
    </w:p>
    <w:p w14:paraId="03542285" w14:textId="06C1F521" w:rsidR="005366EE" w:rsidRPr="00D12FA4" w:rsidRDefault="005366EE" w:rsidP="00CD1E39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4DBCFC9E" w14:textId="59E5B2C0" w:rsidR="005366EE" w:rsidRPr="00D12FA4" w:rsidRDefault="005366EE" w:rsidP="00CD1E39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Podpis: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7596C20F" w14:textId="5C075FB1" w:rsidR="005366EE" w:rsidRPr="00D12FA4" w:rsidRDefault="005366EE" w:rsidP="00CD1E39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339FA918" w14:textId="66AED52D" w:rsidR="005366EE" w:rsidRPr="00D12FA4" w:rsidRDefault="005366EE" w:rsidP="00CD1E39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7DA6EAD4" w14:textId="339F1333" w:rsidR="00CE2F63" w:rsidRPr="00D12FA4" w:rsidRDefault="005366EE" w:rsidP="00CD1E39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Podpis: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sectPr w:rsidR="00CE2F63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20880" w14:textId="77777777" w:rsidR="000B5B23" w:rsidRDefault="000B5B23" w:rsidP="0015303A">
      <w:r>
        <w:separator/>
      </w:r>
    </w:p>
  </w:endnote>
  <w:endnote w:type="continuationSeparator" w:id="0">
    <w:p w14:paraId="5A25138E" w14:textId="77777777" w:rsidR="000B5B23" w:rsidRDefault="000B5B23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610C5374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D1E39">
          <w:rPr>
            <w:rFonts w:ascii="Arial" w:hAnsi="Arial" w:cs="Arial"/>
            <w:noProof/>
            <w:sz w:val="22"/>
            <w:szCs w:val="22"/>
          </w:rPr>
          <w:t>1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EB5EE" w14:textId="77777777" w:rsidR="000B5B23" w:rsidRDefault="000B5B23" w:rsidP="0015303A">
      <w:r>
        <w:separator/>
      </w:r>
    </w:p>
  </w:footnote>
  <w:footnote w:type="continuationSeparator" w:id="0">
    <w:p w14:paraId="068A37A8" w14:textId="77777777" w:rsidR="000B5B23" w:rsidRDefault="000B5B23" w:rsidP="0015303A">
      <w:r>
        <w:continuationSeparator/>
      </w:r>
    </w:p>
  </w:footnote>
  <w:footnote w:id="1">
    <w:p w14:paraId="17C8F799" w14:textId="39704891" w:rsidR="00AB0298" w:rsidRPr="00D64B50" w:rsidRDefault="00AB0298" w:rsidP="00282383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Odpowiedź „Nie dotyczy” może być zastosowana jedynie dla kryterium nr 7</w:t>
      </w:r>
    </w:p>
  </w:footnote>
  <w:footnote w:id="2">
    <w:p w14:paraId="5FF75C9E" w14:textId="26167188" w:rsidR="007F0CB1" w:rsidRPr="00D64B50" w:rsidRDefault="007F0CB1" w:rsidP="00282383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Maksymalny poziom dofinansowania dla FENX.01.05 Ochrona przyrody i rozwój zielonej infrastruktury. Typ projektu: Rekultywacja i </w:t>
      </w:r>
      <w:proofErr w:type="spellStart"/>
      <w:r w:rsidRPr="00D64B50">
        <w:rPr>
          <w:rFonts w:ascii="Open Sans Light" w:hAnsi="Open Sans Light" w:cs="Open Sans Light"/>
        </w:rPr>
        <w:t>remediacja</w:t>
      </w:r>
      <w:proofErr w:type="spellEnd"/>
      <w:r w:rsidRPr="00D64B50">
        <w:rPr>
          <w:rFonts w:ascii="Open Sans Light" w:hAnsi="Open Sans Light" w:cs="Open Sans Light"/>
        </w:rPr>
        <w:t xml:space="preserve"> terenów zdegradowanych działalnością gospodarczą</w:t>
      </w:r>
      <w:r w:rsidR="00EF09C0">
        <w:rPr>
          <w:rFonts w:ascii="Open Sans Light" w:hAnsi="Open Sans Light" w:cs="Open Sans Light"/>
        </w:rPr>
        <w:t xml:space="preserve">. </w:t>
      </w:r>
    </w:p>
  </w:footnote>
  <w:footnote w:id="3">
    <w:p w14:paraId="420FD0A7" w14:textId="53662D18" w:rsidR="00C51945" w:rsidRPr="00D64B50" w:rsidRDefault="00C51945" w:rsidP="00282383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</w:t>
      </w:r>
      <w:r w:rsidR="00EF09C0">
        <w:rPr>
          <w:rFonts w:ascii="Open Sans Light" w:hAnsi="Open Sans Light" w:cs="Open Sans Light"/>
        </w:rPr>
        <w:t>Z</w:t>
      </w:r>
      <w:r w:rsidRPr="00D64B50">
        <w:rPr>
          <w:rFonts w:ascii="Open Sans Light" w:hAnsi="Open Sans Light" w:cs="Open Sans Light"/>
        </w:rPr>
        <w:t>godnie z zapisami § 1</w:t>
      </w:r>
      <w:r w:rsidR="00ED2C22" w:rsidRPr="00D64B50">
        <w:rPr>
          <w:rFonts w:ascii="Open Sans Light" w:hAnsi="Open Sans Light" w:cs="Open Sans Light"/>
        </w:rPr>
        <w:t>2</w:t>
      </w:r>
      <w:r w:rsidRPr="00D64B50">
        <w:rPr>
          <w:rFonts w:ascii="Open Sans Light" w:hAnsi="Open Sans Light" w:cs="Open Sans Light"/>
        </w:rPr>
        <w:t xml:space="preserve"> ust. </w:t>
      </w:r>
      <w:r w:rsidR="00ED2C22" w:rsidRPr="00D64B50">
        <w:rPr>
          <w:rFonts w:ascii="Open Sans Light" w:hAnsi="Open Sans Light" w:cs="Open Sans Light"/>
        </w:rPr>
        <w:t>6</w:t>
      </w:r>
      <w:r w:rsidRPr="00D64B50">
        <w:rPr>
          <w:rFonts w:ascii="Open Sans Light" w:hAnsi="Open Sans Light" w:cs="Open Sans Light"/>
        </w:rPr>
        <w:t xml:space="preserve"> Regulaminu wyboru projektów</w:t>
      </w:r>
      <w:r w:rsidR="00EF09C0">
        <w:rPr>
          <w:rFonts w:ascii="Open Sans Light" w:hAnsi="Open Sans Light" w:cs="Open Sans Light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E7C08"/>
    <w:multiLevelType w:val="hybridMultilevel"/>
    <w:tmpl w:val="D6D8C2AE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073E2"/>
    <w:multiLevelType w:val="hybridMultilevel"/>
    <w:tmpl w:val="CE86A6C0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035657">
    <w:abstractNumId w:val="0"/>
  </w:num>
  <w:num w:numId="2" w16cid:durableId="1904756862">
    <w:abstractNumId w:val="1"/>
  </w:num>
  <w:num w:numId="3" w16cid:durableId="1445615749">
    <w:abstractNumId w:val="2"/>
  </w:num>
  <w:num w:numId="4" w16cid:durableId="153688366">
    <w:abstractNumId w:val="3"/>
  </w:num>
  <w:num w:numId="5" w16cid:durableId="2795329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2118761">
    <w:abstractNumId w:val="7"/>
  </w:num>
  <w:num w:numId="7" w16cid:durableId="960111899">
    <w:abstractNumId w:val="4"/>
  </w:num>
  <w:num w:numId="8" w16cid:durableId="17559311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11C45"/>
    <w:rsid w:val="000179D0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5B23"/>
    <w:rsid w:val="000C4571"/>
    <w:rsid w:val="000C666A"/>
    <w:rsid w:val="000C7B2D"/>
    <w:rsid w:val="000D0B4F"/>
    <w:rsid w:val="000E11B5"/>
    <w:rsid w:val="000E3530"/>
    <w:rsid w:val="000E751B"/>
    <w:rsid w:val="000F4D3F"/>
    <w:rsid w:val="000F696D"/>
    <w:rsid w:val="000F70E2"/>
    <w:rsid w:val="00100545"/>
    <w:rsid w:val="00114F62"/>
    <w:rsid w:val="001155F0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2383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56FC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4C18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325B7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E074D"/>
    <w:rsid w:val="007E46E5"/>
    <w:rsid w:val="007F0CB1"/>
    <w:rsid w:val="007F4A6C"/>
    <w:rsid w:val="00800C95"/>
    <w:rsid w:val="00802A07"/>
    <w:rsid w:val="00813116"/>
    <w:rsid w:val="00814569"/>
    <w:rsid w:val="00830A68"/>
    <w:rsid w:val="008369E0"/>
    <w:rsid w:val="00840C65"/>
    <w:rsid w:val="00844250"/>
    <w:rsid w:val="008612D8"/>
    <w:rsid w:val="008748CB"/>
    <w:rsid w:val="00881DC3"/>
    <w:rsid w:val="008863E3"/>
    <w:rsid w:val="00890363"/>
    <w:rsid w:val="008A092E"/>
    <w:rsid w:val="008B1AF2"/>
    <w:rsid w:val="008B73BC"/>
    <w:rsid w:val="008C2220"/>
    <w:rsid w:val="008C646F"/>
    <w:rsid w:val="008D3B26"/>
    <w:rsid w:val="008D44CC"/>
    <w:rsid w:val="008E2C75"/>
    <w:rsid w:val="008E489E"/>
    <w:rsid w:val="008F036C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9786E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E4E9D"/>
    <w:rsid w:val="009F69B6"/>
    <w:rsid w:val="00A053A8"/>
    <w:rsid w:val="00A05812"/>
    <w:rsid w:val="00A14095"/>
    <w:rsid w:val="00A17A8B"/>
    <w:rsid w:val="00A20D12"/>
    <w:rsid w:val="00A27ED5"/>
    <w:rsid w:val="00A349AD"/>
    <w:rsid w:val="00A40D82"/>
    <w:rsid w:val="00A44667"/>
    <w:rsid w:val="00A57696"/>
    <w:rsid w:val="00A66613"/>
    <w:rsid w:val="00A82B14"/>
    <w:rsid w:val="00A95DA0"/>
    <w:rsid w:val="00A97CE8"/>
    <w:rsid w:val="00AA18C0"/>
    <w:rsid w:val="00AA60DD"/>
    <w:rsid w:val="00AB0298"/>
    <w:rsid w:val="00AC4E9B"/>
    <w:rsid w:val="00AD04CC"/>
    <w:rsid w:val="00AE655D"/>
    <w:rsid w:val="00B23413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E5064"/>
    <w:rsid w:val="00BF21EF"/>
    <w:rsid w:val="00BF7372"/>
    <w:rsid w:val="00C00D9E"/>
    <w:rsid w:val="00C0624D"/>
    <w:rsid w:val="00C204D2"/>
    <w:rsid w:val="00C217B3"/>
    <w:rsid w:val="00C262C4"/>
    <w:rsid w:val="00C30267"/>
    <w:rsid w:val="00C304A5"/>
    <w:rsid w:val="00C309CA"/>
    <w:rsid w:val="00C32C10"/>
    <w:rsid w:val="00C43E90"/>
    <w:rsid w:val="00C44A17"/>
    <w:rsid w:val="00C51945"/>
    <w:rsid w:val="00C52949"/>
    <w:rsid w:val="00C6180E"/>
    <w:rsid w:val="00C65FEF"/>
    <w:rsid w:val="00C724B7"/>
    <w:rsid w:val="00C75B84"/>
    <w:rsid w:val="00C81167"/>
    <w:rsid w:val="00CA3E30"/>
    <w:rsid w:val="00CD1E39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CF32AD"/>
    <w:rsid w:val="00CF57E9"/>
    <w:rsid w:val="00D0113E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64B50"/>
    <w:rsid w:val="00D74CA4"/>
    <w:rsid w:val="00D76ABE"/>
    <w:rsid w:val="00D80006"/>
    <w:rsid w:val="00D90D28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1D3C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D2C22"/>
    <w:rsid w:val="00ED570D"/>
    <w:rsid w:val="00EE26CB"/>
    <w:rsid w:val="00EE2A02"/>
    <w:rsid w:val="00EE63D0"/>
    <w:rsid w:val="00EF09C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E3ACB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3170E-23DA-4784-A865-2633CD88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Miłoszewski Konrad</cp:lastModifiedBy>
  <cp:revision>4</cp:revision>
  <cp:lastPrinted>2016-04-11T09:12:00Z</cp:lastPrinted>
  <dcterms:created xsi:type="dcterms:W3CDTF">2025-02-20T11:47:00Z</dcterms:created>
  <dcterms:modified xsi:type="dcterms:W3CDTF">2025-03-03T08:34:00Z</dcterms:modified>
</cp:coreProperties>
</file>